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D8" w:rsidRPr="009116D8" w:rsidRDefault="009116D8" w:rsidP="009116D8">
      <w:pPr>
        <w:spacing w:after="0" w:line="330" w:lineRule="atLeast"/>
        <w:jc w:val="center"/>
        <w:outlineLvl w:val="2"/>
        <w:rPr>
          <w:rFonts w:ascii="Times New Roman" w:eastAsia="Times New Roman" w:hAnsi="Times New Roman" w:cs="Times New Roman"/>
          <w:b/>
          <w:bCs/>
          <w:color w:val="333333"/>
          <w:sz w:val="28"/>
          <w:szCs w:val="28"/>
          <w:lang w:eastAsia="ru-RU"/>
        </w:rPr>
      </w:pPr>
      <w:r w:rsidRPr="009116D8">
        <w:rPr>
          <w:rFonts w:ascii="Times New Roman" w:eastAsia="Times New Roman" w:hAnsi="Times New Roman" w:cs="Times New Roman"/>
          <w:b/>
          <w:bCs/>
          <w:color w:val="333333"/>
          <w:sz w:val="28"/>
          <w:szCs w:val="28"/>
          <w:lang w:eastAsia="ru-RU"/>
        </w:rPr>
        <w:t>Тема: Правовые системы.</w:t>
      </w:r>
    </w:p>
    <w:p w:rsidR="009116D8" w:rsidRPr="009116D8" w:rsidRDefault="009116D8" w:rsidP="00C964B1">
      <w:pPr>
        <w:spacing w:after="0" w:line="330" w:lineRule="atLeast"/>
        <w:outlineLvl w:val="2"/>
        <w:rPr>
          <w:rFonts w:ascii="Times New Roman" w:eastAsia="Times New Roman" w:hAnsi="Times New Roman" w:cs="Times New Roman"/>
          <w:b/>
          <w:bCs/>
          <w:color w:val="333333"/>
          <w:sz w:val="28"/>
          <w:szCs w:val="28"/>
          <w:lang w:eastAsia="ru-RU"/>
        </w:rPr>
      </w:pPr>
    </w:p>
    <w:p w:rsidR="00C964B1" w:rsidRPr="009116D8" w:rsidRDefault="009116D8" w:rsidP="00C964B1">
      <w:pPr>
        <w:spacing w:after="0" w:line="330" w:lineRule="atLeast"/>
        <w:outlineLvl w:val="2"/>
        <w:rPr>
          <w:rFonts w:ascii="Times New Roman" w:eastAsia="Times New Roman" w:hAnsi="Times New Roman" w:cs="Times New Roman"/>
          <w:b/>
          <w:bCs/>
          <w:color w:val="333333"/>
          <w:sz w:val="28"/>
          <w:szCs w:val="28"/>
          <w:lang w:eastAsia="ru-RU"/>
        </w:rPr>
      </w:pPr>
      <w:r w:rsidRPr="009116D8">
        <w:rPr>
          <w:rFonts w:ascii="Times New Roman" w:eastAsia="Times New Roman" w:hAnsi="Times New Roman" w:cs="Times New Roman"/>
          <w:b/>
          <w:bCs/>
          <w:color w:val="333333"/>
          <w:sz w:val="28"/>
          <w:szCs w:val="28"/>
          <w:lang w:eastAsia="ru-RU"/>
        </w:rPr>
        <w:tab/>
      </w:r>
      <w:r w:rsidR="00C964B1" w:rsidRPr="009116D8">
        <w:rPr>
          <w:rFonts w:ascii="Times New Roman" w:eastAsia="Times New Roman" w:hAnsi="Times New Roman" w:cs="Times New Roman"/>
          <w:b/>
          <w:bCs/>
          <w:color w:val="333333"/>
          <w:sz w:val="28"/>
          <w:szCs w:val="28"/>
          <w:lang w:eastAsia="ru-RU"/>
        </w:rPr>
        <w:t>Англосаксонская правовая система</w:t>
      </w:r>
    </w:p>
    <w:p w:rsidR="00C964B1" w:rsidRPr="009116D8" w:rsidRDefault="006F273E" w:rsidP="00C964B1">
      <w:pPr>
        <w:spacing w:before="30" w:after="150" w:line="240" w:lineRule="auto"/>
        <w:rPr>
          <w:rFonts w:ascii="Times New Roman" w:eastAsia="Times New Roman" w:hAnsi="Times New Roman" w:cs="Times New Roman"/>
          <w:sz w:val="28"/>
          <w:szCs w:val="28"/>
          <w:lang w:eastAsia="ru-RU"/>
        </w:rPr>
      </w:pPr>
      <w:r w:rsidRPr="009116D8">
        <w:rPr>
          <w:rFonts w:ascii="Times New Roman" w:eastAsia="Times New Roman" w:hAnsi="Times New Roman" w:cs="Times New Roman"/>
          <w:sz w:val="28"/>
          <w:szCs w:val="28"/>
          <w:lang w:eastAsia="ru-RU"/>
        </w:rPr>
        <w:pict>
          <v:rect id="_x0000_i1025" style="width:0;height:.75pt" o:hralign="center" o:hrstd="t" o:hrnoshade="t" o:hr="t" fillcolor="#333" stroked="f"/>
        </w:pic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Великобритания, Канада, США, Новая Зеландия и др.</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Начало ведет из права Великобритании. Основным источником права является судебный прецедент, т.к. основные творцы права – это судьи (Верховные). НПА присутствует как источник права, но в подавляющем меньшинстве по сравнению с судебным прецедентом, виде закона. Правовой обычай используется в качестве источника права в сфере публичного права, например, в Конституции, т.к. для этой семьи характерно отсутствие писаной конституции, но в тех государствах, в которых она есть (США, 1787 г.), все равно правовой обычай регулирует отношения в области конституционного права.</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Система права не делится на отрасли частного и публичного права, однако присутствует деление права на материальные и процессуальные, с приоритетом процессуальных норм.</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Для системы права характерно деление права на </w:t>
      </w:r>
      <w:r w:rsidRPr="009116D8">
        <w:rPr>
          <w:rFonts w:ascii="Times New Roman" w:eastAsia="Times New Roman" w:hAnsi="Times New Roman" w:cs="Times New Roman"/>
          <w:b/>
          <w:bCs/>
          <w:color w:val="333333"/>
          <w:sz w:val="28"/>
          <w:szCs w:val="28"/>
          <w:lang w:eastAsia="ru-RU"/>
        </w:rPr>
        <w:t>общее право</w:t>
      </w:r>
      <w:r w:rsidRPr="009116D8">
        <w:rPr>
          <w:rFonts w:ascii="Times New Roman" w:eastAsia="Times New Roman" w:hAnsi="Times New Roman" w:cs="Times New Roman"/>
          <w:color w:val="333333"/>
          <w:sz w:val="28"/>
          <w:szCs w:val="28"/>
          <w:lang w:eastAsia="ru-RU"/>
        </w:rPr>
        <w:t> (прецедентное право), </w:t>
      </w:r>
      <w:r w:rsidRPr="009116D8">
        <w:rPr>
          <w:rFonts w:ascii="Times New Roman" w:eastAsia="Times New Roman" w:hAnsi="Times New Roman" w:cs="Times New Roman"/>
          <w:b/>
          <w:bCs/>
          <w:color w:val="333333"/>
          <w:sz w:val="28"/>
          <w:szCs w:val="28"/>
          <w:lang w:eastAsia="ru-RU"/>
        </w:rPr>
        <w:t>право справедливости</w:t>
      </w:r>
      <w:r w:rsidRPr="009116D8">
        <w:rPr>
          <w:rFonts w:ascii="Times New Roman" w:eastAsia="Times New Roman" w:hAnsi="Times New Roman" w:cs="Times New Roman"/>
          <w:color w:val="333333"/>
          <w:sz w:val="28"/>
          <w:szCs w:val="28"/>
          <w:lang w:eastAsia="ru-RU"/>
        </w:rPr>
        <w:t xml:space="preserve"> – это система альтернативных прецедентов, созданных не судом, а лордом канцлером </w:t>
      </w:r>
      <w:proofErr w:type="spellStart"/>
      <w:r w:rsidRPr="009116D8">
        <w:rPr>
          <w:rFonts w:ascii="Times New Roman" w:eastAsia="Times New Roman" w:hAnsi="Times New Roman" w:cs="Times New Roman"/>
          <w:color w:val="333333"/>
          <w:sz w:val="28"/>
          <w:szCs w:val="28"/>
          <w:lang w:eastAsia="ru-RU"/>
        </w:rPr>
        <w:t>пожалобам</w:t>
      </w:r>
      <w:proofErr w:type="spellEnd"/>
      <w:r w:rsidRPr="009116D8">
        <w:rPr>
          <w:rFonts w:ascii="Times New Roman" w:eastAsia="Times New Roman" w:hAnsi="Times New Roman" w:cs="Times New Roman"/>
          <w:color w:val="333333"/>
          <w:sz w:val="28"/>
          <w:szCs w:val="28"/>
          <w:lang w:eastAsia="ru-RU"/>
        </w:rPr>
        <w:t xml:space="preserve"> на решение судов, </w:t>
      </w:r>
      <w:r w:rsidRPr="009116D8">
        <w:rPr>
          <w:rFonts w:ascii="Times New Roman" w:eastAsia="Times New Roman" w:hAnsi="Times New Roman" w:cs="Times New Roman"/>
          <w:b/>
          <w:bCs/>
          <w:color w:val="333333"/>
          <w:sz w:val="28"/>
          <w:szCs w:val="28"/>
          <w:lang w:eastAsia="ru-RU"/>
        </w:rPr>
        <w:t>статутное право</w:t>
      </w:r>
      <w:r w:rsidRPr="009116D8">
        <w:rPr>
          <w:rFonts w:ascii="Times New Roman" w:eastAsia="Times New Roman" w:hAnsi="Times New Roman" w:cs="Times New Roman"/>
          <w:color w:val="333333"/>
          <w:sz w:val="28"/>
          <w:szCs w:val="28"/>
          <w:lang w:eastAsia="ru-RU"/>
        </w:rPr>
        <w:t> – это право короля и парламента.</w:t>
      </w:r>
    </w:p>
    <w:p w:rsidR="009116D8" w:rsidRPr="009116D8" w:rsidRDefault="009116D8" w:rsidP="009116D8">
      <w:pPr>
        <w:spacing w:after="0" w:line="330" w:lineRule="atLeast"/>
        <w:jc w:val="both"/>
        <w:rPr>
          <w:rFonts w:ascii="Times New Roman" w:eastAsia="Times New Roman" w:hAnsi="Times New Roman" w:cs="Times New Roman"/>
          <w:color w:val="333333"/>
          <w:sz w:val="28"/>
          <w:szCs w:val="28"/>
          <w:lang w:eastAsia="ru-RU"/>
        </w:rPr>
      </w:pPr>
    </w:p>
    <w:p w:rsidR="00C964B1" w:rsidRPr="009116D8" w:rsidRDefault="009116D8" w:rsidP="009116D8">
      <w:pPr>
        <w:spacing w:after="0" w:line="330" w:lineRule="atLeast"/>
        <w:jc w:val="both"/>
        <w:outlineLvl w:val="2"/>
        <w:rPr>
          <w:rFonts w:ascii="Times New Roman" w:eastAsia="Times New Roman" w:hAnsi="Times New Roman" w:cs="Times New Roman"/>
          <w:b/>
          <w:bCs/>
          <w:color w:val="333333"/>
          <w:sz w:val="28"/>
          <w:szCs w:val="28"/>
          <w:lang w:eastAsia="ru-RU"/>
        </w:rPr>
      </w:pPr>
      <w:r w:rsidRPr="009116D8">
        <w:rPr>
          <w:rFonts w:ascii="Times New Roman" w:eastAsia="Times New Roman" w:hAnsi="Times New Roman" w:cs="Times New Roman"/>
          <w:b/>
          <w:bCs/>
          <w:color w:val="333333"/>
          <w:sz w:val="28"/>
          <w:szCs w:val="28"/>
          <w:lang w:eastAsia="ru-RU"/>
        </w:rPr>
        <w:tab/>
      </w:r>
      <w:r w:rsidR="00C964B1" w:rsidRPr="009116D8">
        <w:rPr>
          <w:rFonts w:ascii="Times New Roman" w:eastAsia="Times New Roman" w:hAnsi="Times New Roman" w:cs="Times New Roman"/>
          <w:b/>
          <w:bCs/>
          <w:color w:val="333333"/>
          <w:sz w:val="28"/>
          <w:szCs w:val="28"/>
          <w:lang w:eastAsia="ru-RU"/>
        </w:rPr>
        <w:t>Обычное (традиционное) право</w:t>
      </w:r>
    </w:p>
    <w:p w:rsidR="00C964B1" w:rsidRPr="009116D8" w:rsidRDefault="006F273E" w:rsidP="009116D8">
      <w:pPr>
        <w:spacing w:before="30" w:after="150" w:line="240" w:lineRule="auto"/>
        <w:jc w:val="both"/>
        <w:rPr>
          <w:rFonts w:ascii="Times New Roman" w:eastAsia="Times New Roman" w:hAnsi="Times New Roman" w:cs="Times New Roman"/>
          <w:sz w:val="28"/>
          <w:szCs w:val="28"/>
          <w:lang w:eastAsia="ru-RU"/>
        </w:rPr>
      </w:pPr>
      <w:r w:rsidRPr="009116D8">
        <w:rPr>
          <w:rFonts w:ascii="Times New Roman" w:eastAsia="Times New Roman" w:hAnsi="Times New Roman" w:cs="Times New Roman"/>
          <w:sz w:val="28"/>
          <w:szCs w:val="28"/>
          <w:lang w:eastAsia="ru-RU"/>
        </w:rPr>
        <w:pict>
          <v:rect id="_x0000_i1026" style="width:0;height:.75pt" o:hralign="center" o:hrstd="t" o:hrnoshade="t" o:hr="t" fillcolor="#333" stroked="f"/>
        </w:pic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Страны экваториальной, южной Африки, Мадагаскар, Камерун, Тога и др.</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Основным источником права являются обычаи, которые регулируют семейные, имущественные отношения, исполнения обычаев приравниваются к уважению предков. Право этой семьи это не право индивида, а право группы. Характерно наличие права метрополий (колонизаторов).</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b/>
          <w:bCs/>
          <w:color w:val="333333"/>
          <w:sz w:val="28"/>
          <w:szCs w:val="28"/>
          <w:lang w:eastAsia="ru-RU"/>
        </w:rPr>
        <w:t>Публичное право</w:t>
      </w:r>
      <w:r w:rsidRPr="009116D8">
        <w:rPr>
          <w:rFonts w:ascii="Times New Roman" w:eastAsia="Times New Roman" w:hAnsi="Times New Roman" w:cs="Times New Roman"/>
          <w:color w:val="333333"/>
          <w:sz w:val="28"/>
          <w:szCs w:val="28"/>
          <w:lang w:eastAsia="ru-RU"/>
        </w:rPr>
        <w:t> – совокупность норм, регулирующих общественные отношения, затрагивающие интересы общества в целом. Признаки:</w:t>
      </w:r>
    </w:p>
    <w:p w:rsidR="00C964B1" w:rsidRPr="009116D8" w:rsidRDefault="00C964B1" w:rsidP="009116D8">
      <w:pPr>
        <w:numPr>
          <w:ilvl w:val="0"/>
          <w:numId w:val="1"/>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императивность норм;</w:t>
      </w:r>
    </w:p>
    <w:p w:rsidR="00C964B1" w:rsidRPr="009116D8" w:rsidRDefault="00C964B1" w:rsidP="009116D8">
      <w:pPr>
        <w:numPr>
          <w:ilvl w:val="0"/>
          <w:numId w:val="1"/>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ориентация на удовлетворение публичных, общественных интересов;</w:t>
      </w:r>
    </w:p>
    <w:p w:rsidR="00C964B1" w:rsidRPr="009116D8" w:rsidRDefault="00C964B1" w:rsidP="009116D8">
      <w:pPr>
        <w:numPr>
          <w:ilvl w:val="0"/>
          <w:numId w:val="1"/>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иерархичность отношения субъектов публичных отношений (власти подчинения);</w:t>
      </w:r>
    </w:p>
    <w:p w:rsidR="00C964B1" w:rsidRPr="009116D8" w:rsidRDefault="00C964B1" w:rsidP="009116D8">
      <w:pPr>
        <w:numPr>
          <w:ilvl w:val="0"/>
          <w:numId w:val="1"/>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одностороннее волеизъявление субъектов;</w:t>
      </w:r>
    </w:p>
    <w:p w:rsidR="00C964B1" w:rsidRPr="009116D8" w:rsidRDefault="00C964B1" w:rsidP="009116D8">
      <w:pPr>
        <w:numPr>
          <w:ilvl w:val="0"/>
          <w:numId w:val="1"/>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санкция преимущественно штрафного (карательного) характера;</w:t>
      </w:r>
    </w:p>
    <w:p w:rsidR="00C964B1" w:rsidRPr="009116D8" w:rsidRDefault="00C964B1" w:rsidP="009116D8">
      <w:pPr>
        <w:numPr>
          <w:ilvl w:val="0"/>
          <w:numId w:val="1"/>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большая степень централизованного урегулирования (государство).</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b/>
          <w:bCs/>
          <w:color w:val="333333"/>
          <w:sz w:val="28"/>
          <w:szCs w:val="28"/>
          <w:lang w:eastAsia="ru-RU"/>
        </w:rPr>
        <w:lastRenderedPageBreak/>
        <w:t>Частное право</w:t>
      </w:r>
      <w:r w:rsidRPr="009116D8">
        <w:rPr>
          <w:rFonts w:ascii="Times New Roman" w:eastAsia="Times New Roman" w:hAnsi="Times New Roman" w:cs="Times New Roman"/>
          <w:color w:val="333333"/>
          <w:sz w:val="28"/>
          <w:szCs w:val="28"/>
          <w:lang w:eastAsia="ru-RU"/>
        </w:rPr>
        <w:t> – совокупность норм, регулирующих общественное отношение затрагивающие интересы отдельных граждан, юридических лиц. Признаки:</w:t>
      </w:r>
    </w:p>
    <w:p w:rsidR="00C964B1" w:rsidRPr="009116D8" w:rsidRDefault="00C964B1" w:rsidP="009116D8">
      <w:pPr>
        <w:numPr>
          <w:ilvl w:val="0"/>
          <w:numId w:val="2"/>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равенство субъектов правоотношений;</w:t>
      </w:r>
    </w:p>
    <w:p w:rsidR="00C964B1" w:rsidRPr="009116D8" w:rsidRDefault="00C964B1" w:rsidP="009116D8">
      <w:pPr>
        <w:numPr>
          <w:ilvl w:val="0"/>
          <w:numId w:val="2"/>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диспозитивное содержание правового регулирования;</w:t>
      </w:r>
    </w:p>
    <w:p w:rsidR="00C964B1" w:rsidRPr="009116D8" w:rsidRDefault="00C964B1" w:rsidP="009116D8">
      <w:pPr>
        <w:numPr>
          <w:ilvl w:val="0"/>
          <w:numId w:val="2"/>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свободное волеизъявление субъектов при реализации своих прав;</w:t>
      </w:r>
    </w:p>
    <w:p w:rsidR="00C964B1" w:rsidRPr="009116D8" w:rsidRDefault="00C964B1" w:rsidP="009116D8">
      <w:pPr>
        <w:numPr>
          <w:ilvl w:val="0"/>
          <w:numId w:val="2"/>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ориентация на удовлетворение личных/корпоративных интересов;</w:t>
      </w:r>
    </w:p>
    <w:p w:rsidR="00C964B1" w:rsidRPr="009116D8" w:rsidRDefault="00C964B1" w:rsidP="009116D8">
      <w:pPr>
        <w:numPr>
          <w:ilvl w:val="0"/>
          <w:numId w:val="2"/>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xml:space="preserve">- </w:t>
      </w:r>
      <w:proofErr w:type="spellStart"/>
      <w:r w:rsidRPr="009116D8">
        <w:rPr>
          <w:rFonts w:ascii="Times New Roman" w:eastAsia="Times New Roman" w:hAnsi="Times New Roman" w:cs="Times New Roman"/>
          <w:color w:val="333333"/>
          <w:sz w:val="28"/>
          <w:szCs w:val="28"/>
          <w:lang w:eastAsia="ru-RU"/>
        </w:rPr>
        <w:t>правовосстановительные</w:t>
      </w:r>
      <w:proofErr w:type="spellEnd"/>
      <w:r w:rsidRPr="009116D8">
        <w:rPr>
          <w:rFonts w:ascii="Times New Roman" w:eastAsia="Times New Roman" w:hAnsi="Times New Roman" w:cs="Times New Roman"/>
          <w:color w:val="333333"/>
          <w:sz w:val="28"/>
          <w:szCs w:val="28"/>
          <w:lang w:eastAsia="ru-RU"/>
        </w:rPr>
        <w:t xml:space="preserve"> санкции;</w:t>
      </w:r>
    </w:p>
    <w:p w:rsidR="009116D8" w:rsidRPr="009116D8" w:rsidRDefault="00C964B1" w:rsidP="009116D8">
      <w:pPr>
        <w:numPr>
          <w:ilvl w:val="0"/>
          <w:numId w:val="2"/>
        </w:num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xml:space="preserve">- </w:t>
      </w:r>
      <w:proofErr w:type="spellStart"/>
      <w:r w:rsidRPr="009116D8">
        <w:rPr>
          <w:rFonts w:ascii="Times New Roman" w:eastAsia="Times New Roman" w:hAnsi="Times New Roman" w:cs="Times New Roman"/>
          <w:color w:val="333333"/>
          <w:sz w:val="28"/>
          <w:szCs w:val="28"/>
          <w:lang w:eastAsia="ru-RU"/>
        </w:rPr>
        <w:t>децентрализованность</w:t>
      </w:r>
      <w:proofErr w:type="spellEnd"/>
      <w:r w:rsidRPr="009116D8">
        <w:rPr>
          <w:rFonts w:ascii="Times New Roman" w:eastAsia="Times New Roman" w:hAnsi="Times New Roman" w:cs="Times New Roman"/>
          <w:color w:val="333333"/>
          <w:sz w:val="28"/>
          <w:szCs w:val="28"/>
          <w:lang w:eastAsia="ru-RU"/>
        </w:rPr>
        <w:t>, т.к. субъекты могут своей волей определить условия собственного поведения (например, брачный договор в СП, договор подряда в ГП и т.д.).</w:t>
      </w:r>
    </w:p>
    <w:p w:rsidR="009116D8" w:rsidRPr="009116D8" w:rsidRDefault="009116D8" w:rsidP="009116D8">
      <w:pPr>
        <w:spacing w:after="0" w:line="240" w:lineRule="auto"/>
        <w:ind w:left="750" w:right="450"/>
        <w:jc w:val="both"/>
        <w:rPr>
          <w:rFonts w:ascii="Times New Roman" w:eastAsia="Times New Roman" w:hAnsi="Times New Roman" w:cs="Times New Roman"/>
          <w:color w:val="333333"/>
          <w:sz w:val="28"/>
          <w:szCs w:val="28"/>
          <w:lang w:eastAsia="ru-RU"/>
        </w:rPr>
      </w:pPr>
    </w:p>
    <w:p w:rsidR="00C964B1" w:rsidRPr="009116D8" w:rsidRDefault="00C964B1" w:rsidP="009116D8">
      <w:pPr>
        <w:spacing w:after="0" w:line="240" w:lineRule="auto"/>
        <w:ind w:left="750" w:right="450"/>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b/>
          <w:bCs/>
          <w:color w:val="333333"/>
          <w:sz w:val="28"/>
          <w:szCs w:val="28"/>
          <w:lang w:eastAsia="ru-RU"/>
        </w:rPr>
        <w:t>Романо-германская правовая система</w:t>
      </w:r>
    </w:p>
    <w:p w:rsidR="00C964B1" w:rsidRPr="009116D8" w:rsidRDefault="006F273E" w:rsidP="009116D8">
      <w:pPr>
        <w:spacing w:before="30" w:after="150" w:line="240" w:lineRule="auto"/>
        <w:jc w:val="both"/>
        <w:rPr>
          <w:rFonts w:ascii="Times New Roman" w:eastAsia="Times New Roman" w:hAnsi="Times New Roman" w:cs="Times New Roman"/>
          <w:sz w:val="28"/>
          <w:szCs w:val="28"/>
          <w:lang w:eastAsia="ru-RU"/>
        </w:rPr>
      </w:pPr>
      <w:r w:rsidRPr="009116D8">
        <w:rPr>
          <w:rFonts w:ascii="Times New Roman" w:eastAsia="Times New Roman" w:hAnsi="Times New Roman" w:cs="Times New Roman"/>
          <w:sz w:val="28"/>
          <w:szCs w:val="28"/>
          <w:lang w:eastAsia="ru-RU"/>
        </w:rPr>
        <w:pict>
          <v:rect id="_x0000_i1027" style="width:0;height:.75pt" o:hralign="center" o:hrstd="t" o:hrnoshade="t" o:hr="t" fillcolor="#333" stroked="f"/>
        </w:pic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Россия, Германия, Франция, Италия и др.</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Основным источником права является НПА. Семью характеризует большое количество подзаконных актов, высшей юр. силой является закон. Характерно наличие писаной Конституции, за которой закреплена наивысшая юр. сила. Законодательство носит кодифицированный характер. Правовой обычай является источником права в сфере частного права. В качестве источников права также используются общие принципы права. Норма права носит абстрактный характер, определено возможное поведение. В системе права характерно разделение права на отрасли права – частное и публичное, поскольку происхождение семьи идет от римского права. Характерно деление права на материальные и процессуальные, с приоритетом материального права. Судебная власть, по общему правилу, правотворческими функциями не обладает.</w:t>
      </w:r>
    </w:p>
    <w:p w:rsidR="00C964B1" w:rsidRPr="009116D8" w:rsidRDefault="00C964B1" w:rsidP="009116D8">
      <w:pPr>
        <w:spacing w:after="0" w:line="330" w:lineRule="atLeast"/>
        <w:jc w:val="both"/>
        <w:outlineLvl w:val="2"/>
        <w:rPr>
          <w:rFonts w:ascii="Times New Roman" w:eastAsia="Times New Roman" w:hAnsi="Times New Roman" w:cs="Times New Roman"/>
          <w:b/>
          <w:bCs/>
          <w:color w:val="333333"/>
          <w:sz w:val="28"/>
          <w:szCs w:val="28"/>
          <w:lang w:eastAsia="ru-RU"/>
        </w:rPr>
      </w:pPr>
    </w:p>
    <w:p w:rsidR="00C964B1" w:rsidRPr="009116D8" w:rsidRDefault="009116D8" w:rsidP="009116D8">
      <w:pPr>
        <w:spacing w:after="0" w:line="330" w:lineRule="atLeast"/>
        <w:jc w:val="both"/>
        <w:outlineLvl w:val="2"/>
        <w:rPr>
          <w:rFonts w:ascii="Times New Roman" w:eastAsia="Times New Roman" w:hAnsi="Times New Roman" w:cs="Times New Roman"/>
          <w:b/>
          <w:bCs/>
          <w:color w:val="333333"/>
          <w:sz w:val="28"/>
          <w:szCs w:val="28"/>
          <w:lang w:eastAsia="ru-RU"/>
        </w:rPr>
      </w:pPr>
      <w:r w:rsidRPr="009116D8">
        <w:rPr>
          <w:rFonts w:ascii="Times New Roman" w:eastAsia="Times New Roman" w:hAnsi="Times New Roman" w:cs="Times New Roman"/>
          <w:b/>
          <w:bCs/>
          <w:color w:val="333333"/>
          <w:sz w:val="28"/>
          <w:szCs w:val="28"/>
          <w:lang w:eastAsia="ru-RU"/>
        </w:rPr>
        <w:tab/>
      </w:r>
      <w:r w:rsidR="00C964B1" w:rsidRPr="009116D8">
        <w:rPr>
          <w:rFonts w:ascii="Times New Roman" w:eastAsia="Times New Roman" w:hAnsi="Times New Roman" w:cs="Times New Roman"/>
          <w:b/>
          <w:bCs/>
          <w:color w:val="333333"/>
          <w:sz w:val="28"/>
          <w:szCs w:val="28"/>
          <w:lang w:eastAsia="ru-RU"/>
        </w:rPr>
        <w:t>Мусульманская правовая система</w:t>
      </w:r>
    </w:p>
    <w:p w:rsidR="00C964B1" w:rsidRPr="009116D8" w:rsidRDefault="006F273E" w:rsidP="009116D8">
      <w:pPr>
        <w:spacing w:before="30" w:after="150" w:line="240" w:lineRule="auto"/>
        <w:jc w:val="both"/>
        <w:rPr>
          <w:rFonts w:ascii="Times New Roman" w:eastAsia="Times New Roman" w:hAnsi="Times New Roman" w:cs="Times New Roman"/>
          <w:sz w:val="28"/>
          <w:szCs w:val="28"/>
          <w:lang w:eastAsia="ru-RU"/>
        </w:rPr>
      </w:pPr>
      <w:r w:rsidRPr="009116D8">
        <w:rPr>
          <w:rFonts w:ascii="Times New Roman" w:eastAsia="Times New Roman" w:hAnsi="Times New Roman" w:cs="Times New Roman"/>
          <w:sz w:val="28"/>
          <w:szCs w:val="28"/>
          <w:lang w:eastAsia="ru-RU"/>
        </w:rPr>
        <w:pict>
          <v:rect id="_x0000_i1028" style="width:0;height:.75pt" o:hralign="center" o:hrstd="t" o:hrnoshade="t" o:hr="t" fillcolor="#333" stroked="f"/>
        </w:pic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Иран, Ирак, Пакистан, Саудовская Аравия.</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Право воспринимается как правило, адресованное всем мусульманам, Аллахам который открыл его человеку через пророка Мухаммеда, поэтому право не подлежит изменению и главная задача государства обеспечить неизменность этих норм. В силу такой неизменности, для практического использования, право подлежит толкованию, поэтому основным источником права, на которые ссылаются судьи, при вынесении решения, является юридическая доктрина.</w:t>
      </w:r>
    </w:p>
    <w:p w:rsidR="00C964B1" w:rsidRPr="009116D8" w:rsidRDefault="00C964B1" w:rsidP="009116D8">
      <w:pPr>
        <w:spacing w:after="0" w:line="330" w:lineRule="atLeast"/>
        <w:jc w:val="both"/>
        <w:rPr>
          <w:rFonts w:ascii="Times New Roman" w:eastAsia="Times New Roman" w:hAnsi="Times New Roman" w:cs="Times New Roman"/>
          <w:color w:val="333333"/>
          <w:sz w:val="28"/>
          <w:szCs w:val="28"/>
          <w:lang w:eastAsia="ru-RU"/>
        </w:rPr>
      </w:pPr>
      <w:r w:rsidRPr="009116D8">
        <w:rPr>
          <w:rFonts w:ascii="Times New Roman" w:eastAsia="Times New Roman" w:hAnsi="Times New Roman" w:cs="Times New Roman"/>
          <w:color w:val="333333"/>
          <w:sz w:val="28"/>
          <w:szCs w:val="28"/>
          <w:lang w:eastAsia="ru-RU"/>
        </w:rPr>
        <w:t xml:space="preserve">Особенности права также состоят в том, что оно регулирует все сферы жизни </w:t>
      </w:r>
      <w:proofErr w:type="spellStart"/>
      <w:r w:rsidRPr="009116D8">
        <w:rPr>
          <w:rFonts w:ascii="Times New Roman" w:eastAsia="Times New Roman" w:hAnsi="Times New Roman" w:cs="Times New Roman"/>
          <w:color w:val="333333"/>
          <w:sz w:val="28"/>
          <w:szCs w:val="28"/>
          <w:lang w:eastAsia="ru-RU"/>
        </w:rPr>
        <w:t>прававомерного</w:t>
      </w:r>
      <w:proofErr w:type="spellEnd"/>
      <w:r w:rsidRPr="009116D8">
        <w:rPr>
          <w:rFonts w:ascii="Times New Roman" w:eastAsia="Times New Roman" w:hAnsi="Times New Roman" w:cs="Times New Roman"/>
          <w:color w:val="333333"/>
          <w:sz w:val="28"/>
          <w:szCs w:val="28"/>
          <w:lang w:eastAsia="ru-RU"/>
        </w:rPr>
        <w:t xml:space="preserve"> поведения, по содержанию не носят предписывающего или запрещающего характера, представляют собой обязанность совершать или не совершать те или иные поступки. Источником также выступают религиозные тексты: Коран; Сунна (содержит пояснения некоторых правил Корана); к </w:t>
      </w:r>
      <w:r w:rsidRPr="009116D8">
        <w:rPr>
          <w:rFonts w:ascii="Times New Roman" w:eastAsia="Times New Roman" w:hAnsi="Times New Roman" w:cs="Times New Roman"/>
          <w:color w:val="333333"/>
          <w:sz w:val="28"/>
          <w:szCs w:val="28"/>
          <w:lang w:eastAsia="ru-RU"/>
        </w:rPr>
        <w:lastRenderedPageBreak/>
        <w:t xml:space="preserve">числу нерелигиозных источников относятся: </w:t>
      </w:r>
      <w:proofErr w:type="spellStart"/>
      <w:r w:rsidRPr="009116D8">
        <w:rPr>
          <w:rFonts w:ascii="Times New Roman" w:eastAsia="Times New Roman" w:hAnsi="Times New Roman" w:cs="Times New Roman"/>
          <w:color w:val="333333"/>
          <w:sz w:val="28"/>
          <w:szCs w:val="28"/>
          <w:lang w:eastAsia="ru-RU"/>
        </w:rPr>
        <w:t>Иджма</w:t>
      </w:r>
      <w:proofErr w:type="spellEnd"/>
      <w:r w:rsidRPr="009116D8">
        <w:rPr>
          <w:rFonts w:ascii="Times New Roman" w:eastAsia="Times New Roman" w:hAnsi="Times New Roman" w:cs="Times New Roman"/>
          <w:color w:val="333333"/>
          <w:sz w:val="28"/>
          <w:szCs w:val="28"/>
          <w:lang w:eastAsia="ru-RU"/>
        </w:rPr>
        <w:t xml:space="preserve"> – это согласие всего мусульманского сообщества об обязанностях мусульманина; </w:t>
      </w:r>
      <w:proofErr w:type="spellStart"/>
      <w:r w:rsidRPr="009116D8">
        <w:rPr>
          <w:rFonts w:ascii="Times New Roman" w:eastAsia="Times New Roman" w:hAnsi="Times New Roman" w:cs="Times New Roman"/>
          <w:color w:val="333333"/>
          <w:sz w:val="28"/>
          <w:szCs w:val="28"/>
          <w:lang w:eastAsia="ru-RU"/>
        </w:rPr>
        <w:t>Кияс</w:t>
      </w:r>
      <w:proofErr w:type="spellEnd"/>
      <w:r w:rsidRPr="009116D8">
        <w:rPr>
          <w:rFonts w:ascii="Times New Roman" w:eastAsia="Times New Roman" w:hAnsi="Times New Roman" w:cs="Times New Roman"/>
          <w:color w:val="333333"/>
          <w:sz w:val="28"/>
          <w:szCs w:val="28"/>
          <w:lang w:eastAsia="ru-RU"/>
        </w:rPr>
        <w:t xml:space="preserve"> (содержит правила применения права по аналогии, т.е. указывает, как применять к новым случаям правила, установленные Кораном, Сунной, </w:t>
      </w:r>
      <w:proofErr w:type="spellStart"/>
      <w:r w:rsidRPr="009116D8">
        <w:rPr>
          <w:rFonts w:ascii="Times New Roman" w:eastAsia="Times New Roman" w:hAnsi="Times New Roman" w:cs="Times New Roman"/>
          <w:color w:val="333333"/>
          <w:sz w:val="28"/>
          <w:szCs w:val="28"/>
          <w:lang w:eastAsia="ru-RU"/>
        </w:rPr>
        <w:t>Иджмой</w:t>
      </w:r>
      <w:proofErr w:type="spellEnd"/>
      <w:r w:rsidRPr="009116D8">
        <w:rPr>
          <w:rFonts w:ascii="Times New Roman" w:eastAsia="Times New Roman" w:hAnsi="Times New Roman" w:cs="Times New Roman"/>
          <w:color w:val="333333"/>
          <w:sz w:val="28"/>
          <w:szCs w:val="28"/>
          <w:lang w:eastAsia="ru-RU"/>
        </w:rPr>
        <w:t>).</w:t>
      </w:r>
    </w:p>
    <w:p w:rsidR="00C964B1" w:rsidRPr="009116D8" w:rsidRDefault="009116D8" w:rsidP="009116D8">
      <w:pPr>
        <w:jc w:val="both"/>
        <w:rPr>
          <w:rFonts w:ascii="Times New Roman" w:hAnsi="Times New Roman" w:cs="Times New Roman"/>
          <w:sz w:val="28"/>
          <w:szCs w:val="28"/>
        </w:rPr>
      </w:pPr>
      <w:r w:rsidRPr="009116D8">
        <w:rPr>
          <w:rFonts w:ascii="Times New Roman" w:hAnsi="Times New Roman" w:cs="Times New Roman"/>
          <w:sz w:val="28"/>
          <w:szCs w:val="28"/>
        </w:rPr>
        <w:t xml:space="preserve">  </w:t>
      </w:r>
    </w:p>
    <w:p w:rsidR="009116D8" w:rsidRPr="009116D8" w:rsidRDefault="009116D8" w:rsidP="009116D8">
      <w:pPr>
        <w:jc w:val="both"/>
        <w:rPr>
          <w:rFonts w:ascii="Times New Roman" w:hAnsi="Times New Roman" w:cs="Times New Roman"/>
          <w:b/>
          <w:i/>
          <w:sz w:val="28"/>
          <w:szCs w:val="28"/>
        </w:rPr>
      </w:pPr>
      <w:r w:rsidRPr="009116D8">
        <w:rPr>
          <w:rFonts w:ascii="Times New Roman" w:hAnsi="Times New Roman" w:cs="Times New Roman"/>
          <w:b/>
          <w:i/>
          <w:sz w:val="28"/>
          <w:szCs w:val="28"/>
        </w:rPr>
        <w:t>Задание:</w:t>
      </w:r>
    </w:p>
    <w:p w:rsidR="009116D8" w:rsidRPr="009116D8" w:rsidRDefault="009116D8" w:rsidP="009116D8">
      <w:pPr>
        <w:spacing w:after="0" w:line="240" w:lineRule="auto"/>
        <w:jc w:val="both"/>
        <w:rPr>
          <w:rFonts w:ascii="Times New Roman" w:hAnsi="Times New Roman" w:cs="Times New Roman"/>
          <w:b/>
          <w:i/>
          <w:sz w:val="28"/>
          <w:szCs w:val="28"/>
        </w:rPr>
      </w:pPr>
      <w:r w:rsidRPr="009116D8">
        <w:rPr>
          <w:rFonts w:ascii="Times New Roman" w:hAnsi="Times New Roman" w:cs="Times New Roman"/>
          <w:b/>
          <w:i/>
          <w:sz w:val="28"/>
          <w:szCs w:val="28"/>
        </w:rPr>
        <w:t>1.Запишите данную тему в тетрадь;</w:t>
      </w:r>
    </w:p>
    <w:p w:rsidR="009116D8" w:rsidRPr="009116D8" w:rsidRDefault="009116D8" w:rsidP="009116D8">
      <w:pPr>
        <w:spacing w:after="0" w:line="240" w:lineRule="auto"/>
        <w:jc w:val="both"/>
        <w:rPr>
          <w:rFonts w:ascii="Times New Roman" w:hAnsi="Times New Roman" w:cs="Times New Roman"/>
          <w:b/>
          <w:i/>
          <w:sz w:val="28"/>
          <w:szCs w:val="28"/>
        </w:rPr>
      </w:pPr>
      <w:r w:rsidRPr="009116D8">
        <w:rPr>
          <w:rFonts w:ascii="Times New Roman" w:hAnsi="Times New Roman" w:cs="Times New Roman"/>
          <w:b/>
          <w:i/>
          <w:sz w:val="28"/>
          <w:szCs w:val="28"/>
        </w:rPr>
        <w:t>2. Сделайте схему по данной теме.</w:t>
      </w:r>
    </w:p>
    <w:p w:rsidR="009116D8" w:rsidRPr="009116D8" w:rsidRDefault="009116D8" w:rsidP="009116D8">
      <w:pPr>
        <w:spacing w:after="0" w:line="240" w:lineRule="auto"/>
        <w:jc w:val="both"/>
        <w:rPr>
          <w:rFonts w:ascii="Times New Roman" w:hAnsi="Times New Roman" w:cs="Times New Roman"/>
          <w:b/>
          <w:i/>
          <w:sz w:val="28"/>
          <w:szCs w:val="28"/>
        </w:rPr>
      </w:pPr>
      <w:r w:rsidRPr="009116D8">
        <w:rPr>
          <w:rFonts w:ascii="Times New Roman" w:hAnsi="Times New Roman" w:cs="Times New Roman"/>
          <w:b/>
          <w:i/>
          <w:sz w:val="28"/>
          <w:szCs w:val="28"/>
        </w:rPr>
        <w:t xml:space="preserve">3. Ответьте на вопрос: к какой правовой системе относится - наша правовая система? </w:t>
      </w:r>
    </w:p>
    <w:sectPr w:rsidR="009116D8" w:rsidRPr="009116D8" w:rsidSect="0084408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D8" w:rsidRDefault="009116D8" w:rsidP="009116D8">
      <w:pPr>
        <w:spacing w:after="0" w:line="240" w:lineRule="auto"/>
      </w:pPr>
      <w:r>
        <w:separator/>
      </w:r>
    </w:p>
  </w:endnote>
  <w:endnote w:type="continuationSeparator" w:id="0">
    <w:p w:rsidR="009116D8" w:rsidRDefault="009116D8" w:rsidP="00911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262"/>
      <w:docPartObj>
        <w:docPartGallery w:val="Page Numbers (Bottom of Page)"/>
        <w:docPartUnique/>
      </w:docPartObj>
    </w:sdtPr>
    <w:sdtContent>
      <w:p w:rsidR="009116D8" w:rsidRDefault="009116D8">
        <w:pPr>
          <w:pStyle w:val="a6"/>
          <w:jc w:val="right"/>
        </w:pPr>
        <w:fldSimple w:instr=" PAGE   \* MERGEFORMAT ">
          <w:r>
            <w:rPr>
              <w:noProof/>
            </w:rPr>
            <w:t>1</w:t>
          </w:r>
        </w:fldSimple>
      </w:p>
    </w:sdtContent>
  </w:sdt>
  <w:p w:rsidR="009116D8" w:rsidRDefault="009116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D8" w:rsidRDefault="009116D8" w:rsidP="009116D8">
      <w:pPr>
        <w:spacing w:after="0" w:line="240" w:lineRule="auto"/>
      </w:pPr>
      <w:r>
        <w:separator/>
      </w:r>
    </w:p>
  </w:footnote>
  <w:footnote w:type="continuationSeparator" w:id="0">
    <w:p w:rsidR="009116D8" w:rsidRDefault="009116D8" w:rsidP="009116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3280F"/>
    <w:multiLevelType w:val="multilevel"/>
    <w:tmpl w:val="39FA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C38D6"/>
    <w:multiLevelType w:val="multilevel"/>
    <w:tmpl w:val="7450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964B1"/>
    <w:rsid w:val="006F273E"/>
    <w:rsid w:val="0084408C"/>
    <w:rsid w:val="009116D8"/>
    <w:rsid w:val="00C96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8C"/>
  </w:style>
  <w:style w:type="paragraph" w:styleId="3">
    <w:name w:val="heading 3"/>
    <w:basedOn w:val="a"/>
    <w:link w:val="30"/>
    <w:uiPriority w:val="9"/>
    <w:qFormat/>
    <w:rsid w:val="00C964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64B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6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116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16D8"/>
  </w:style>
  <w:style w:type="paragraph" w:styleId="a6">
    <w:name w:val="footer"/>
    <w:basedOn w:val="a"/>
    <w:link w:val="a7"/>
    <w:uiPriority w:val="99"/>
    <w:unhideWhenUsed/>
    <w:rsid w:val="009116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16D8"/>
  </w:style>
</w:styles>
</file>

<file path=word/webSettings.xml><?xml version="1.0" encoding="utf-8"?>
<w:webSettings xmlns:r="http://schemas.openxmlformats.org/officeDocument/2006/relationships" xmlns:w="http://schemas.openxmlformats.org/wordprocessingml/2006/main">
  <w:divs>
    <w:div w:id="328484419">
      <w:bodyDiv w:val="1"/>
      <w:marLeft w:val="0"/>
      <w:marRight w:val="0"/>
      <w:marTop w:val="0"/>
      <w:marBottom w:val="0"/>
      <w:divBdr>
        <w:top w:val="none" w:sz="0" w:space="0" w:color="auto"/>
        <w:left w:val="none" w:sz="0" w:space="0" w:color="auto"/>
        <w:bottom w:val="none" w:sz="0" w:space="0" w:color="auto"/>
        <w:right w:val="none" w:sz="0" w:space="0" w:color="auto"/>
      </w:divBdr>
    </w:div>
    <w:div w:id="9479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692</Words>
  <Characters>3945</Characters>
  <Application>Microsoft Office Word</Application>
  <DocSecurity>0</DocSecurity>
  <Lines>32</Lines>
  <Paragraphs>9</Paragraphs>
  <ScaleCrop>false</ScaleCrop>
  <Company>Reanimator Extreme Edition</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2020-05-13T11:02:00Z</dcterms:created>
  <dcterms:modified xsi:type="dcterms:W3CDTF">2020-06-06T08:42:00Z</dcterms:modified>
</cp:coreProperties>
</file>